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B2" w:rsidRPr="005E04B2" w:rsidRDefault="005E04B2">
      <w:pPr>
        <w:rPr>
          <w:b/>
          <w:sz w:val="28"/>
          <w:szCs w:val="28"/>
        </w:rPr>
      </w:pPr>
      <w:r w:rsidRPr="005E04B2">
        <w:rPr>
          <w:b/>
          <w:sz w:val="28"/>
          <w:szCs w:val="28"/>
        </w:rPr>
        <w:t>Workshop „Der/die betriebliche Datenschutzbeauftragte“</w:t>
      </w:r>
    </w:p>
    <w:p w:rsidR="005E04B2" w:rsidRDefault="005E04B2">
      <w:r>
        <w:t xml:space="preserve">Referent: Sebastian </w:t>
      </w:r>
      <w:proofErr w:type="spellStart"/>
      <w:r>
        <w:t>Klocker</w:t>
      </w:r>
      <w:proofErr w:type="spellEnd"/>
      <w:r>
        <w:t xml:space="preserve"> – Datenschutzagentur</w:t>
      </w:r>
    </w:p>
    <w:p w:rsidR="005E04B2" w:rsidRDefault="005E04B2">
      <w:pPr>
        <w:pBdr>
          <w:bottom w:val="single" w:sz="6" w:space="1" w:color="auto"/>
        </w:pBdr>
      </w:pPr>
      <w:r>
        <w:t>Mitschrift: Michael Gogola</w:t>
      </w:r>
    </w:p>
    <w:p w:rsidR="005E04B2" w:rsidRDefault="005E04B2" w:rsidP="005E04B2">
      <w:pPr>
        <w:jc w:val="both"/>
      </w:pPr>
      <w:r>
        <w:t>Zunächst wiederholt der Referent die Grundprinzipien der DSGVO</w:t>
      </w:r>
      <w:r w:rsidR="00692F08">
        <w:t>.</w:t>
      </w:r>
    </w:p>
    <w:p w:rsidR="005E04B2" w:rsidRDefault="005E04B2" w:rsidP="005E04B2">
      <w:pPr>
        <w:pStyle w:val="Listenabsatz"/>
        <w:numPr>
          <w:ilvl w:val="0"/>
          <w:numId w:val="1"/>
        </w:numPr>
        <w:jc w:val="both"/>
      </w:pPr>
      <w:r>
        <w:t xml:space="preserve">Mit der DSGVO ist der/die </w:t>
      </w:r>
      <w:proofErr w:type="spellStart"/>
      <w:r>
        <w:t>DatenverarbeiterIn</w:t>
      </w:r>
      <w:proofErr w:type="spellEnd"/>
      <w:r>
        <w:t xml:space="preserve"> selbst für die Rechtmäßigkeit der Verarbeitung </w:t>
      </w:r>
      <w:r w:rsidRPr="000511D5">
        <w:rPr>
          <w:b/>
        </w:rPr>
        <w:t>verantwortlich</w:t>
      </w:r>
      <w:r>
        <w:t xml:space="preserve">, eine Prüfung der rechtlichen Zulässigkeit erfolgt erst </w:t>
      </w:r>
      <w:r w:rsidR="000511D5">
        <w:t>im Nachhinein</w:t>
      </w:r>
      <w:r>
        <w:t xml:space="preserve"> </w:t>
      </w:r>
      <w:r w:rsidR="000511D5">
        <w:t>durch die Datenschutzbehörde. E</w:t>
      </w:r>
      <w:r>
        <w:t>s besteht also keine Vorab-Meldepflicht mehr, wenn Daten verarbeitet (bzw nach der Terminologie des DSG 2000 „verwendet“) werden. Vorab-Handlungen sind bloß noch bei der systematischen Erfassung bzw Verarbeitung von Daten nötig, nämlich in Form de</w:t>
      </w:r>
      <w:r w:rsidR="000511D5">
        <w:t>r Datenschutz-Folgeabschätzung.</w:t>
      </w:r>
    </w:p>
    <w:p w:rsidR="005E04B2" w:rsidRDefault="005E04B2" w:rsidP="005E04B2">
      <w:pPr>
        <w:pStyle w:val="Listenabsatz"/>
        <w:jc w:val="both"/>
      </w:pPr>
    </w:p>
    <w:p w:rsidR="005E04B2" w:rsidRDefault="005E04B2" w:rsidP="005E04B2">
      <w:pPr>
        <w:pStyle w:val="Listenabsatz"/>
        <w:numPr>
          <w:ilvl w:val="0"/>
          <w:numId w:val="1"/>
        </w:numPr>
        <w:jc w:val="both"/>
      </w:pPr>
      <w:r>
        <w:t xml:space="preserve">Bei </w:t>
      </w:r>
      <w:r w:rsidRPr="000511D5">
        <w:rPr>
          <w:b/>
        </w:rPr>
        <w:t>Kameras</w:t>
      </w:r>
      <w:r>
        <w:t xml:space="preserve"> ist jetzt also auch nicht mehr die DVR-Nummer anzugeben bzw auch an der Kamera anzubringen, stattdessen muss der/die Verantwortliche angegeben werden.</w:t>
      </w:r>
    </w:p>
    <w:p w:rsidR="005E04B2" w:rsidRDefault="005E04B2" w:rsidP="005E04B2">
      <w:pPr>
        <w:pStyle w:val="Listenabsatz"/>
      </w:pPr>
    </w:p>
    <w:p w:rsidR="005E04B2" w:rsidRDefault="005E04B2" w:rsidP="005E04B2">
      <w:pPr>
        <w:pStyle w:val="Listenabsatz"/>
        <w:numPr>
          <w:ilvl w:val="0"/>
          <w:numId w:val="1"/>
        </w:numPr>
        <w:jc w:val="both"/>
      </w:pPr>
      <w:r>
        <w:t xml:space="preserve">Es erfolgt </w:t>
      </w:r>
      <w:r w:rsidR="007962C7">
        <w:t xml:space="preserve">somit nur mehr eine Dokumentation in Form des </w:t>
      </w:r>
      <w:r w:rsidR="007962C7" w:rsidRPr="000511D5">
        <w:rPr>
          <w:b/>
        </w:rPr>
        <w:t>Verarbeitungsverzeichnisses</w:t>
      </w:r>
      <w:r w:rsidR="007962C7">
        <w:t>.</w:t>
      </w:r>
    </w:p>
    <w:p w:rsidR="007962C7" w:rsidRDefault="007962C7" w:rsidP="007962C7">
      <w:pPr>
        <w:pStyle w:val="Listenabsatz"/>
      </w:pPr>
    </w:p>
    <w:p w:rsidR="007962C7" w:rsidRDefault="007962C7" w:rsidP="005E04B2">
      <w:pPr>
        <w:pStyle w:val="Listenabsatz"/>
        <w:numPr>
          <w:ilvl w:val="0"/>
          <w:numId w:val="1"/>
        </w:numPr>
        <w:jc w:val="both"/>
      </w:pPr>
      <w:r w:rsidRPr="000511D5">
        <w:rPr>
          <w:b/>
        </w:rPr>
        <w:t>DVR-Meldungen</w:t>
      </w:r>
      <w:r>
        <w:t>, so sie tatsächlich aktuell und vollständig sind, könnten im Prinzip ins Verarbeitungsverzeichnis übertragen werden.</w:t>
      </w:r>
    </w:p>
    <w:p w:rsidR="007962C7" w:rsidRDefault="007962C7" w:rsidP="007962C7">
      <w:pPr>
        <w:pStyle w:val="Listenabsatz"/>
      </w:pPr>
    </w:p>
    <w:p w:rsidR="007962C7" w:rsidRDefault="007962C7" w:rsidP="005E04B2">
      <w:pPr>
        <w:pStyle w:val="Listenabsatz"/>
        <w:numPr>
          <w:ilvl w:val="0"/>
          <w:numId w:val="1"/>
        </w:numPr>
        <w:jc w:val="both"/>
      </w:pPr>
      <w:r>
        <w:t>Neu an der DSGVO ist das Marktortprinzip, das den Anwendungsbereich der Verordnung über die Grenzen der EU hinaus erweitert (samt ausführlicherer Erläuterung).</w:t>
      </w:r>
    </w:p>
    <w:p w:rsidR="007962C7" w:rsidRDefault="007962C7" w:rsidP="007962C7">
      <w:pPr>
        <w:pStyle w:val="Listenabsatz"/>
      </w:pPr>
    </w:p>
    <w:p w:rsidR="00692F08" w:rsidRDefault="007962C7" w:rsidP="00BB2039">
      <w:pPr>
        <w:pStyle w:val="Listenabsatz"/>
        <w:numPr>
          <w:ilvl w:val="0"/>
          <w:numId w:val="1"/>
        </w:numPr>
        <w:jc w:val="both"/>
      </w:pPr>
      <w:r>
        <w:t xml:space="preserve">Nach dem Inkrafttreten der DSGVO noch ausständig ist jedoch die </w:t>
      </w:r>
      <w:r w:rsidRPr="006C356A">
        <w:rPr>
          <w:b/>
        </w:rPr>
        <w:t>E-Privacy-VO</w:t>
      </w:r>
      <w:r>
        <w:t xml:space="preserve"> der EU! Diese hätte eigentlich zeitgleich mit der DSGVO in Kraft treten sollen, befindet sich derzeit jedoch noch im Trilog </w:t>
      </w:r>
      <w:r w:rsidR="000511D5">
        <w:t xml:space="preserve">(= kleines Verhandlungsteam aus EU-Kommission, EU-Parlament und EU-Rat) </w:t>
      </w:r>
      <w:r>
        <w:t xml:space="preserve">und ist dort bereits vor einiger Zeit „hängen geblieben“. Beschluss und Inkrafttreten sind noch nicht vollständig absehbar, möglicherweise ist jedoch </w:t>
      </w:r>
      <w:r w:rsidR="003F1F9B">
        <w:t>mit einem Inkrafttreten im Laufe des nächsten Jahres zu rechnen. Die E-Privacy-VO soll inhaltlich im Wesentlichen die Rahmenbedingungen von Online-Werbung und E-Commerce regeln.</w:t>
      </w:r>
    </w:p>
    <w:p w:rsidR="006C356A" w:rsidRDefault="006C356A" w:rsidP="00DC4755">
      <w:pPr>
        <w:jc w:val="both"/>
        <w:rPr>
          <w:b/>
        </w:rPr>
      </w:pPr>
    </w:p>
    <w:p w:rsidR="00DC4755" w:rsidRDefault="00DC4755" w:rsidP="00DC4755">
      <w:pPr>
        <w:jc w:val="both"/>
        <w:rPr>
          <w:b/>
        </w:rPr>
      </w:pPr>
      <w:r w:rsidRPr="00DC4755">
        <w:rPr>
          <w:b/>
        </w:rPr>
        <w:t>Referent (Kernaussagen zusammenfassend):</w:t>
      </w:r>
    </w:p>
    <w:p w:rsidR="000511D5" w:rsidRDefault="000511D5" w:rsidP="000511D5">
      <w:pPr>
        <w:pStyle w:val="Listenabsatz"/>
        <w:numPr>
          <w:ilvl w:val="0"/>
          <w:numId w:val="2"/>
        </w:numPr>
        <w:jc w:val="both"/>
      </w:pPr>
      <w:r>
        <w:t xml:space="preserve">Die bisherige Art 29-Gruppe wird zum </w:t>
      </w:r>
      <w:r w:rsidRPr="00692F08">
        <w:rPr>
          <w:b/>
        </w:rPr>
        <w:t>Europäischen Datenschutzrat</w:t>
      </w:r>
      <w:r>
        <w:t>.</w:t>
      </w:r>
    </w:p>
    <w:p w:rsidR="000511D5" w:rsidRDefault="000511D5" w:rsidP="000511D5">
      <w:pPr>
        <w:pStyle w:val="Listenabsatz"/>
        <w:jc w:val="both"/>
      </w:pPr>
    </w:p>
    <w:p w:rsidR="00DC4755" w:rsidRDefault="00DC4755" w:rsidP="00EE2DA2">
      <w:pPr>
        <w:pStyle w:val="Listenabsatz"/>
        <w:numPr>
          <w:ilvl w:val="0"/>
          <w:numId w:val="2"/>
        </w:numPr>
        <w:jc w:val="both"/>
      </w:pPr>
      <w:r>
        <w:t xml:space="preserve">Wann ist ein/eine </w:t>
      </w:r>
      <w:proofErr w:type="spellStart"/>
      <w:r w:rsidR="00692F08" w:rsidRPr="00692F08">
        <w:rPr>
          <w:b/>
        </w:rPr>
        <w:t>betrieblicheR</w:t>
      </w:r>
      <w:proofErr w:type="spellEnd"/>
      <w:r w:rsidR="00692F08" w:rsidRPr="00692F08">
        <w:rPr>
          <w:b/>
        </w:rPr>
        <w:t xml:space="preserve"> </w:t>
      </w:r>
      <w:proofErr w:type="spellStart"/>
      <w:r w:rsidRPr="00692F08">
        <w:rPr>
          <w:b/>
        </w:rPr>
        <w:t>DatenschutzbeauftrageR</w:t>
      </w:r>
      <w:proofErr w:type="spellEnd"/>
      <w:r>
        <w:t xml:space="preserve"> allgemein zu bestellen – was sind die gesetzlichen Voraussetzungen?</w:t>
      </w:r>
      <w:r w:rsidR="003828E9">
        <w:t xml:space="preserve"> </w:t>
      </w:r>
      <w:r>
        <w:t>Was sind die unternehmensinternen Aufgaben des/der Datenschutzbeauftragten</w:t>
      </w:r>
      <w:r w:rsidR="00157F04">
        <w:t xml:space="preserve">? Insbesondere die Überwachung der Einhaltung des Datenschutzrechts wird als Hauptaufgabe herausgestrichen. So muss der/die Datenschutzbeauftragte diese Überwachung auch tatsächlich wahrnehmen können, muss also mit den notwendigen Ressourcen und dem notwendigen Zugang zu Informationen ausgestattet werden – was sich daher auch auf die Stellung im Organigramm des Unternehmens auswirken wird. Der/die Datenschutzbeauftragte muss sich also in einer </w:t>
      </w:r>
      <w:proofErr w:type="spellStart"/>
      <w:r w:rsidR="00157F04">
        <w:t>gehobeneren</w:t>
      </w:r>
      <w:proofErr w:type="spellEnd"/>
      <w:r w:rsidR="00157F04">
        <w:t xml:space="preserve"> Stellung befinden, von der aus eine gewisse „Übersicht“ über die Vorgänge im Unternehmen gewährleistet sein muss.</w:t>
      </w:r>
    </w:p>
    <w:p w:rsidR="00157F04" w:rsidRDefault="00157F04" w:rsidP="00157F04">
      <w:pPr>
        <w:pStyle w:val="Listenabsatz"/>
      </w:pPr>
    </w:p>
    <w:p w:rsidR="00157F04" w:rsidRDefault="00157F04" w:rsidP="00DC4755">
      <w:pPr>
        <w:pStyle w:val="Listenabsatz"/>
        <w:numPr>
          <w:ilvl w:val="0"/>
          <w:numId w:val="2"/>
        </w:numPr>
        <w:jc w:val="both"/>
      </w:pPr>
      <w:r>
        <w:t xml:space="preserve">Der/die Datenschutzbeauftragte ist weisungsfrei und in diesem Zusammenhang auch als eigene „Stabstelle“ im Unternehmen einzurichten, darf also niemandem unterstellt sein, sondern muss seiner Berichtspflicht gegenüber dem/der </w:t>
      </w:r>
      <w:proofErr w:type="spellStart"/>
      <w:r>
        <w:t>DatenverarbeiterIn</w:t>
      </w:r>
      <w:proofErr w:type="spellEnd"/>
      <w:r>
        <w:t xml:space="preserve"> unabhängig nachkommen können.</w:t>
      </w:r>
    </w:p>
    <w:p w:rsidR="00157F04" w:rsidRDefault="00157F04" w:rsidP="00157F04">
      <w:pPr>
        <w:pStyle w:val="Listenabsatz"/>
      </w:pPr>
    </w:p>
    <w:p w:rsidR="00157F04" w:rsidRPr="000511D5" w:rsidRDefault="000511D5" w:rsidP="00157F04">
      <w:pPr>
        <w:jc w:val="both"/>
        <w:rPr>
          <w:b/>
        </w:rPr>
      </w:pPr>
      <w:r w:rsidRPr="000511D5">
        <w:rPr>
          <w:b/>
        </w:rPr>
        <w:t>Nachfragen:</w:t>
      </w:r>
    </w:p>
    <w:p w:rsidR="00157F04" w:rsidRDefault="00157F04" w:rsidP="00157F04">
      <w:pPr>
        <w:pStyle w:val="Listenabsatz"/>
        <w:numPr>
          <w:ilvl w:val="0"/>
          <w:numId w:val="3"/>
        </w:numPr>
        <w:jc w:val="both"/>
      </w:pPr>
      <w:r>
        <w:t xml:space="preserve">Nach Ansicht der Datenschutzagentur sind die betriebsinternen Aufgaben des/der Datenschutzbeauftragten über die in der DSGVO </w:t>
      </w:r>
      <w:r w:rsidR="000511D5">
        <w:t>festgelegten</w:t>
      </w:r>
      <w:r>
        <w:t xml:space="preserve"> hinaus ausweitbar – es wird dabei jedoch vorsichtig vorgegangen werden müssen, da sich im Auseinanderfallen von gesetzlicher und vertraglicher Grundlage der Aufgabenerfüllung schwierige Haftungsfragen ergeben könnten und sich der/die Datenschutzbeauftrag</w:t>
      </w:r>
      <w:r w:rsidR="000511D5">
        <w:t>te bei (vermuteter) Verfehlung</w:t>
      </w:r>
      <w:r>
        <w:t xml:space="preserve"> nicht mehr ausschließlich auf die Kompetenzen aus der DSGVO wird berufen können.</w:t>
      </w:r>
    </w:p>
    <w:p w:rsidR="00157F04" w:rsidRDefault="00157F04" w:rsidP="00157F04">
      <w:pPr>
        <w:pStyle w:val="Listenabsatz"/>
        <w:jc w:val="both"/>
      </w:pPr>
    </w:p>
    <w:p w:rsidR="00157F04" w:rsidRDefault="00157F04" w:rsidP="00157F04">
      <w:pPr>
        <w:pStyle w:val="Listenabsatz"/>
        <w:numPr>
          <w:ilvl w:val="0"/>
          <w:numId w:val="3"/>
        </w:numPr>
        <w:jc w:val="both"/>
      </w:pPr>
      <w:r>
        <w:t>Nach Ansicht der Datenschutzagentur kann ein Mitspracherecht des Betriebsrates</w:t>
      </w:r>
      <w:r w:rsidR="00BB7CAB">
        <w:t xml:space="preserve"> bei der Bestellung des/der Datenschutzbeauftragten</w:t>
      </w:r>
      <w:r>
        <w:t xml:space="preserve"> </w:t>
      </w:r>
      <w:r w:rsidR="00BB7CAB">
        <w:t>etwa in einer Betriebsvereinbarung geregelt werden und wird zumindest als zulässig erachtet</w:t>
      </w:r>
      <w:r w:rsidR="000960E1">
        <w:t>. Die genaue Ausgestaltung ist in der Folge allerdings fraglich. Eine Ausgestaltung des Mitspracherechts als Vorschlagsrecht des Betriebsrates wird als zulässig erachtet.</w:t>
      </w:r>
    </w:p>
    <w:p w:rsidR="000960E1" w:rsidRDefault="000960E1" w:rsidP="000960E1">
      <w:pPr>
        <w:pStyle w:val="Listenabsatz"/>
      </w:pPr>
    </w:p>
    <w:p w:rsidR="000960E1" w:rsidRDefault="000960E1" w:rsidP="000960E1">
      <w:pPr>
        <w:jc w:val="both"/>
      </w:pPr>
      <w:bookmarkStart w:id="0" w:name="_GoBack"/>
      <w:bookmarkEnd w:id="0"/>
      <w:r>
        <w:t>(Ende</w:t>
      </w:r>
      <w:r w:rsidR="00CD26DB">
        <w:t xml:space="preserve"> des Workshops</w:t>
      </w:r>
      <w:r>
        <w:t>)</w:t>
      </w:r>
    </w:p>
    <w:sectPr w:rsidR="000960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61B"/>
    <w:multiLevelType w:val="hybridMultilevel"/>
    <w:tmpl w:val="1988D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21BF"/>
    <w:multiLevelType w:val="hybridMultilevel"/>
    <w:tmpl w:val="43E2B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20"/>
    <w:multiLevelType w:val="hybridMultilevel"/>
    <w:tmpl w:val="C9402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E8"/>
    <w:rsid w:val="000511D5"/>
    <w:rsid w:val="000960E1"/>
    <w:rsid w:val="00157F04"/>
    <w:rsid w:val="003828E9"/>
    <w:rsid w:val="003F1F9B"/>
    <w:rsid w:val="00424F0C"/>
    <w:rsid w:val="005A02E8"/>
    <w:rsid w:val="005E04B2"/>
    <w:rsid w:val="00692F08"/>
    <w:rsid w:val="006C356A"/>
    <w:rsid w:val="007962C7"/>
    <w:rsid w:val="008A3811"/>
    <w:rsid w:val="00BB7CAB"/>
    <w:rsid w:val="00CD26DB"/>
    <w:rsid w:val="00D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91DE"/>
  <w15:chartTrackingRefBased/>
  <w15:docId w15:val="{6B23492D-094A-4574-94A7-FB3966DE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OEGB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Gogola Michael</dc:creator>
  <cp:keywords/>
  <dc:description/>
  <cp:lastModifiedBy>Fritsch Clara</cp:lastModifiedBy>
  <cp:revision>5</cp:revision>
  <dcterms:created xsi:type="dcterms:W3CDTF">2018-06-06T06:17:00Z</dcterms:created>
  <dcterms:modified xsi:type="dcterms:W3CDTF">2018-06-06T12:31:00Z</dcterms:modified>
</cp:coreProperties>
</file>